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9AA7D" w14:textId="0505FEE0" w:rsidR="00921FE3" w:rsidRPr="005061DC" w:rsidRDefault="005061DC" w:rsidP="001D5F6F">
      <w:pPr>
        <w:spacing w:after="120" w:line="360" w:lineRule="auto"/>
        <w:ind w:left="567" w:right="1695"/>
        <w:rPr>
          <w:rFonts w:ascii="Arial" w:hAnsi="Arial" w:cs="Arial"/>
          <w:b/>
          <w:bCs/>
          <w:sz w:val="28"/>
          <w:szCs w:val="28"/>
        </w:rPr>
      </w:pPr>
      <w:r>
        <w:rPr>
          <w:rStyle w:val="Fett"/>
          <w:rFonts w:asciiTheme="minorHAnsi" w:hAnsiTheme="minorHAnsi"/>
          <w:sz w:val="28"/>
        </w:rPr>
        <w:t>Noul tăvălug inelar flexibil dublu AMAZONE DFW 580 pentru utilaje purtate</w:t>
      </w:r>
    </w:p>
    <w:p w14:paraId="3DB13CF0" w14:textId="09CF2C2C" w:rsidR="004A4E71" w:rsidRDefault="004A4E71" w:rsidP="00921FE3">
      <w:pPr>
        <w:spacing w:after="120" w:line="360" w:lineRule="auto"/>
        <w:ind w:left="567" w:right="1695"/>
        <w:rPr>
          <w:rFonts w:ascii="Arial" w:eastAsia="Arial" w:hAnsi="Arial" w:cs="Arial"/>
        </w:rPr>
      </w:pPr>
    </w:p>
    <w:p w14:paraId="04603C46" w14:textId="4CFF881D" w:rsidR="005061DC" w:rsidRPr="005061DC" w:rsidRDefault="005061DC" w:rsidP="005061DC">
      <w:pPr>
        <w:spacing w:after="120" w:line="360" w:lineRule="auto"/>
        <w:ind w:left="567" w:right="1695"/>
        <w:rPr>
          <w:rFonts w:ascii="Arial" w:eastAsia="Arial" w:hAnsi="Arial" w:cs="Arial"/>
        </w:rPr>
      </w:pPr>
      <w:r>
        <w:rPr>
          <w:rFonts w:ascii="Arial" w:hAnsi="Arial"/>
        </w:rPr>
        <w:t>Cu tăvălugul inelar flexibil dublu DFW 580, AMAZONE își extinde gama de tăvăluguri tip packer pentru cultivatoarele purtate Cenio și Cenius, precum și pentru grapele compacte cu discuri purtate Catros. Datorită designului său deschis și a distanței dintre inele de 280 mm, noul tăvălug este potrivit pentru o gamă largă de aplicații și oferă o fiabilitate operațională ridicată atât pe soluri nisipoase, cât și pe soluri argiloase.</w:t>
      </w:r>
    </w:p>
    <w:p w14:paraId="7AF50EE3" w14:textId="266B606F" w:rsidR="005061DC" w:rsidRPr="005061DC" w:rsidRDefault="005061DC" w:rsidP="005061DC">
      <w:pPr>
        <w:spacing w:after="120" w:line="360" w:lineRule="auto"/>
        <w:ind w:left="567" w:right="1695"/>
        <w:rPr>
          <w:rFonts w:ascii="Arial" w:eastAsia="Arial" w:hAnsi="Arial" w:cs="Arial"/>
        </w:rPr>
      </w:pPr>
      <w:r>
        <w:rPr>
          <w:rFonts w:ascii="Arial" w:hAnsi="Arial"/>
        </w:rPr>
        <w:t xml:space="preserve">Modelul DFW 580 produce o proporție ridicată de pământ fin datorită acțiunii continue de arc a inelelor și asigură, de asemenea, o reconsolidare eficientă, menținând în același timp suprafața solului afânată. Cu un diametru mic al tubului central de 140 mm și un diametru exterior de 580 mm, tăvălugul inelar flexibil dublu asigură o trecere excelentă pe soluri nisipoase ușoare. Dispunerea eșalonată a inelelor asigură efectul de autopropulsare al tăvălugului. Această combinație conferă tăvălugului inelar flexibil dublu o fiabilitate extremă, în special pe soluri ușoare. </w:t>
      </w:r>
    </w:p>
    <w:p w14:paraId="264902EB" w14:textId="0DF0B1F7" w:rsidR="005061DC" w:rsidRPr="005061DC" w:rsidRDefault="005061DC" w:rsidP="005061DC">
      <w:pPr>
        <w:spacing w:after="120" w:line="360" w:lineRule="auto"/>
        <w:ind w:left="567" w:right="1695"/>
        <w:rPr>
          <w:rFonts w:ascii="Arial" w:eastAsia="Arial" w:hAnsi="Arial" w:cs="Arial"/>
        </w:rPr>
      </w:pPr>
      <w:r>
        <w:rPr>
          <w:rFonts w:ascii="Arial" w:hAnsi="Arial"/>
        </w:rPr>
        <w:t xml:space="preserve">Inelele flexibile solide prezintă avantajul, în special în cazul utilajelor montate, că nu se înfundă cu pământ, împiedicând astfel creșterea greutății tăvălugului. În plus, inelele solide reduc transportul de pământ și semințe de buruieni, contribuind astfel la îmbunătățirea igienei câmpului atunci când se lucrează pe mai multe câmpuri. Un alt avantaj îl reprezintă excelentul efect de autocurățare generat de flexarea constantă a inelelor. Acest lucru asigură o funcționare fiabilă, chiar și în condiții de sol umed și lipicios. </w:t>
      </w:r>
    </w:p>
    <w:p w14:paraId="5A01ACF0" w14:textId="159CE08C" w:rsidR="005061DC" w:rsidRDefault="005061DC" w:rsidP="005061DC">
      <w:pPr>
        <w:spacing w:after="120" w:line="360" w:lineRule="auto"/>
        <w:ind w:left="567" w:right="1695"/>
        <w:rPr>
          <w:rFonts w:ascii="Arial" w:eastAsia="Arial" w:hAnsi="Arial" w:cs="Arial"/>
        </w:rPr>
      </w:pPr>
      <w:r>
        <w:rPr>
          <w:rFonts w:ascii="Arial" w:hAnsi="Arial"/>
        </w:rPr>
        <w:t>Sistemul opțional de greblare asigură o mărunțire mai fină și o nivelare mai intensă a solului. În același timp, sistemul de greblă contribuie la îmbunătățirea combaterii buruienilor, smulgând cerealele spontane care răsar și așezându-le la suprafață, unde se usucă.</w:t>
      </w:r>
    </w:p>
    <w:p w14:paraId="49A395F9" w14:textId="77777777" w:rsidR="00E52C13" w:rsidRPr="005061DC" w:rsidRDefault="00E52C13" w:rsidP="005061DC">
      <w:pPr>
        <w:spacing w:after="120" w:line="360" w:lineRule="auto"/>
        <w:ind w:left="567" w:right="1695"/>
        <w:rPr>
          <w:rFonts w:ascii="Arial" w:eastAsia="Arial" w:hAnsi="Arial" w:cs="Arial"/>
        </w:rPr>
      </w:pPr>
    </w:p>
    <w:p w14:paraId="53301F6C" w14:textId="77777777" w:rsidR="00C44956" w:rsidRDefault="00C44956">
      <w:pPr>
        <w:rPr>
          <w:rFonts w:ascii="Arial" w:eastAsia="Arial" w:hAnsi="Arial" w:cs="Arial"/>
          <w:b/>
          <w:bCs/>
        </w:rPr>
      </w:pPr>
      <w:r>
        <w:br w:type="page"/>
      </w:r>
    </w:p>
    <w:p w14:paraId="0D545C8A" w14:textId="290580EF" w:rsidR="005061DC" w:rsidRPr="005061DC" w:rsidRDefault="005061DC" w:rsidP="005061DC">
      <w:pPr>
        <w:spacing w:after="120" w:line="360" w:lineRule="auto"/>
        <w:ind w:left="567" w:right="1695"/>
        <w:rPr>
          <w:rFonts w:ascii="Arial" w:eastAsia="Arial" w:hAnsi="Arial" w:cs="Arial"/>
        </w:rPr>
      </w:pPr>
      <w:r>
        <w:rPr>
          <w:rFonts w:ascii="Arial" w:hAnsi="Arial"/>
          <w:b/>
        </w:rPr>
        <w:lastRenderedPageBreak/>
        <w:t>Avantajele dintr-o singură privire:</w:t>
      </w:r>
    </w:p>
    <w:p w14:paraId="537BA438" w14:textId="1D365BC4" w:rsidR="007639FE" w:rsidRDefault="005061DC" w:rsidP="005061DC">
      <w:pPr>
        <w:spacing w:after="120" w:line="360" w:lineRule="auto"/>
        <w:ind w:left="567" w:right="1695"/>
        <w:rPr>
          <w:rFonts w:ascii="Arial" w:hAnsi="Arial" w:cs="Arial"/>
          <w:bCs/>
        </w:rPr>
      </w:pPr>
      <w:r>
        <w:rPr>
          <w:rFonts w:ascii="Arial" w:hAnsi="Arial"/>
        </w:rPr>
        <w:t>• Proprietăți bune de rotire datorită diametrului rolei de 580 mm</w:t>
      </w:r>
      <w:r>
        <w:rPr>
          <w:rFonts w:ascii="Arial" w:hAnsi="Arial"/>
        </w:rPr>
        <w:br/>
        <w:t>• Capacitate mare de încărcare datorită celor două corpuri ale rolei și inelelor flexibile robuste</w:t>
      </w:r>
      <w:r>
        <w:rPr>
          <w:rFonts w:ascii="Arial" w:hAnsi="Arial"/>
        </w:rPr>
        <w:br/>
        <w:t>• Potrivit pentru diverse tipuri de sol – de la nisipos la argilos</w:t>
      </w:r>
      <w:r>
        <w:rPr>
          <w:rFonts w:ascii="Arial" w:hAnsi="Arial"/>
        </w:rPr>
        <w:br/>
        <w:t>• Reconsolidare profundă, menținând în același timp o suprafață a solului afânată</w:t>
      </w:r>
      <w:r>
        <w:rPr>
          <w:rFonts w:ascii="Arial" w:hAnsi="Arial"/>
        </w:rPr>
        <w:br/>
        <w:t>• Efect excelent de mărunțire și proprietăți excelente de curățare datorită flexării constante a inelelor</w:t>
      </w:r>
    </w:p>
    <w:p w14:paraId="4957DACD" w14:textId="77777777" w:rsidR="007639FE" w:rsidRDefault="007639FE" w:rsidP="007639FE">
      <w:pPr>
        <w:spacing w:after="120" w:line="360" w:lineRule="auto"/>
        <w:ind w:left="567" w:right="1695"/>
        <w:rPr>
          <w:rFonts w:ascii="Arial" w:hAnsi="Arial" w:cs="Arial"/>
          <w:bCs/>
        </w:rPr>
      </w:pPr>
    </w:p>
    <w:p w14:paraId="4A71B7E0" w14:textId="5D2367B3" w:rsidR="007639FE" w:rsidRDefault="00C44956" w:rsidP="007639FE">
      <w:pPr>
        <w:spacing w:after="120" w:line="360" w:lineRule="auto"/>
        <w:ind w:left="567" w:right="1695"/>
        <w:rPr>
          <w:rFonts w:ascii="Arial" w:hAnsi="Arial" w:cs="Arial"/>
          <w:bCs/>
        </w:rPr>
      </w:pPr>
      <w:r>
        <w:rPr>
          <w:rFonts w:ascii="Arial" w:hAnsi="Arial"/>
          <w:noProof/>
        </w:rPr>
        <w:drawing>
          <wp:inline distT="0" distB="0" distL="0" distR="0" wp14:anchorId="70150CED" wp14:editId="09980BB3">
            <wp:extent cx="5486400" cy="3657600"/>
            <wp:effectExtent l="0" t="0" r="0" b="0"/>
            <wp:docPr id="1617958193"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6400" cy="3657600"/>
                    </a:xfrm>
                    <a:prstGeom prst="rect">
                      <a:avLst/>
                    </a:prstGeom>
                    <a:noFill/>
                    <a:ln>
                      <a:noFill/>
                    </a:ln>
                  </pic:spPr>
                </pic:pic>
              </a:graphicData>
            </a:graphic>
          </wp:inline>
        </w:drawing>
      </w:r>
    </w:p>
    <w:p w14:paraId="105EB2FD" w14:textId="77777777" w:rsidR="00376182" w:rsidRDefault="00376182" w:rsidP="00376182">
      <w:pPr>
        <w:spacing w:after="120" w:line="360" w:lineRule="auto"/>
        <w:ind w:left="567" w:right="1695"/>
        <w:rPr>
          <w:rFonts w:ascii="Arial" w:hAnsi="Arial" w:cs="Arial"/>
          <w:bCs/>
        </w:rPr>
      </w:pPr>
      <w:r>
        <w:rPr>
          <w:rStyle w:val="Fett"/>
          <w:rFonts w:asciiTheme="minorHAnsi" w:eastAsiaTheme="majorEastAsia" w:hAnsiTheme="minorHAnsi" w:cstheme="minorHAnsi"/>
          <w:noProof/>
          <w:sz w:val="28"/>
          <w:szCs w:val="28"/>
        </w:rPr>
        <w:lastRenderedPageBreak/>
        <w:drawing>
          <wp:inline distT="0" distB="0" distL="0" distR="0" wp14:anchorId="06848724" wp14:editId="2541335E">
            <wp:extent cx="4572000" cy="3362325"/>
            <wp:effectExtent l="0" t="0" r="0" b="9525"/>
            <wp:docPr id="491630877"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0" cy="3362325"/>
                    </a:xfrm>
                    <a:prstGeom prst="rect">
                      <a:avLst/>
                    </a:prstGeom>
                    <a:noFill/>
                    <a:ln>
                      <a:noFill/>
                    </a:ln>
                  </pic:spPr>
                </pic:pic>
              </a:graphicData>
            </a:graphic>
          </wp:inline>
        </w:drawing>
      </w:r>
    </w:p>
    <w:p w14:paraId="7C891900" w14:textId="77777777" w:rsidR="00376182" w:rsidRDefault="00376182" w:rsidP="00376182">
      <w:pPr>
        <w:spacing w:after="120" w:line="360" w:lineRule="auto"/>
        <w:ind w:left="567" w:right="1695"/>
        <w:rPr>
          <w:rFonts w:ascii="Arial" w:hAnsi="Arial" w:cs="Arial"/>
          <w:bCs/>
        </w:rPr>
      </w:pPr>
    </w:p>
    <w:p w14:paraId="125CA076" w14:textId="0EB979FA" w:rsidR="00376182" w:rsidRDefault="00376182" w:rsidP="00376182">
      <w:pPr>
        <w:spacing w:after="120" w:line="360" w:lineRule="auto"/>
        <w:ind w:left="567" w:right="1695"/>
        <w:rPr>
          <w:rFonts w:ascii="Arial" w:hAnsi="Arial" w:cs="Arial"/>
          <w:bCs/>
        </w:rPr>
      </w:pPr>
      <w:r>
        <w:rPr>
          <w:rFonts w:ascii="Arial" w:hAnsi="Arial" w:cs="Arial"/>
          <w:bCs/>
          <w:noProof/>
        </w:rPr>
        <w:drawing>
          <wp:inline distT="0" distB="0" distL="0" distR="0" wp14:anchorId="515C54F8" wp14:editId="5E34944B">
            <wp:extent cx="4572000" cy="3436620"/>
            <wp:effectExtent l="0" t="0" r="0" b="0"/>
            <wp:docPr id="1407674104"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0" cy="3436620"/>
                    </a:xfrm>
                    <a:prstGeom prst="rect">
                      <a:avLst/>
                    </a:prstGeom>
                    <a:noFill/>
                    <a:ln>
                      <a:noFill/>
                    </a:ln>
                  </pic:spPr>
                </pic:pic>
              </a:graphicData>
            </a:graphic>
          </wp:inline>
        </w:drawing>
      </w:r>
    </w:p>
    <w:p w14:paraId="07A7D835" w14:textId="77777777" w:rsidR="004A4E71" w:rsidRDefault="004A4E71">
      <w:pPr>
        <w:rPr>
          <w:rFonts w:ascii="Arial" w:hAnsi="Arial" w:cs="Arial"/>
          <w:bCs/>
        </w:rPr>
      </w:pPr>
      <w:r>
        <w:br w:type="page"/>
      </w:r>
    </w:p>
    <w:p w14:paraId="4D1E15D6"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Imaginile, conținutul și datele tehnice sunt orientative și pot varia în funcție de dotări. Sunt aplicate reglementările de circulație rutieră specifice fiecărei țări și acestea trebuie respectate, ceea ce înseamnă că poate fi necesară o aprobare specială. Sarcinile pe osii permise și greutățile totale ale tractoarelor trebuie verificate. Nu toți producătorii de tractoare pot oferi combinațiile prezentate.</w:t>
      </w:r>
    </w:p>
    <w:p w14:paraId="16388F82" w14:textId="77777777" w:rsidR="0006424B" w:rsidRDefault="0006424B" w:rsidP="0006424B">
      <w:pPr>
        <w:tabs>
          <w:tab w:val="left" w:pos="3550"/>
        </w:tabs>
        <w:spacing w:line="360" w:lineRule="auto"/>
        <w:ind w:left="567" w:right="1128"/>
        <w:rPr>
          <w:rFonts w:ascii="Arial" w:hAnsi="Arial" w:cs="Arial"/>
          <w:b/>
          <w:bCs/>
          <w:color w:val="808080" w:themeColor="background1" w:themeShade="80"/>
          <w:sz w:val="20"/>
          <w:szCs w:val="20"/>
        </w:rPr>
      </w:pPr>
    </w:p>
    <w:p w14:paraId="12E61CC3" w14:textId="77777777" w:rsidR="0006424B" w:rsidRPr="00D27732" w:rsidRDefault="0006424B" w:rsidP="0006424B">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Despre AMAZONE</w:t>
      </w:r>
    </w:p>
    <w:p w14:paraId="20EA109A" w14:textId="6E2BA474" w:rsidR="0006424B" w:rsidRPr="00E12CE4" w:rsidRDefault="0006424B" w:rsidP="0006424B">
      <w:pPr>
        <w:tabs>
          <w:tab w:val="left" w:pos="3550"/>
        </w:tabs>
        <w:spacing w:line="360" w:lineRule="auto"/>
        <w:ind w:left="567" w:right="1677"/>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are sediul în 49205 Hasbergen-Gaste, Germania, și produce mașini agricole și de întreținere a spațiilor verzi. Compania administrată de proprietar are aproximativ 2.700 de angajați în 8 unități de producție, Centrul Global de Piese și Centrul Global de Utilaje, precum și 11 sucursale de vânzări. Portofoliul de mașini agricole include echipamente de prelucrare a solului, semănători, distribuitoare de îngrășăminte, echipamente de protecție a plantelor și echipamente pentru prășit. Pe baza acestor competențe de bază, AMAZONE este acum specialistul în cultivarea inteligentă în agricultură. În plus, cu gama sa de îngrijire a solului, AMAZONE oferă utilaje versatile pentru întreținerea parcurilor și a spațiilor verzi, precum și pentru serviciul de deszăpezire. Informații suplimentare: </w:t>
      </w:r>
      <w:hyperlink r:id="rId11" w:history="1">
        <w:r w:rsidR="00376182" w:rsidRPr="00B4246B">
          <w:rPr>
            <w:rStyle w:val="Hyperlink"/>
            <w:rFonts w:ascii="Arial" w:hAnsi="Arial"/>
            <w:sz w:val="20"/>
          </w:rPr>
          <w:t>https://amazone.ro</w:t>
        </w:r>
      </w:hyperlink>
    </w:p>
    <w:p w14:paraId="4E8B9A6B" w14:textId="77777777" w:rsidR="0006424B" w:rsidRDefault="0006424B" w:rsidP="0006424B">
      <w:pPr>
        <w:tabs>
          <w:tab w:val="left" w:pos="3550"/>
        </w:tabs>
        <w:spacing w:line="360" w:lineRule="auto"/>
        <w:ind w:left="567" w:right="1128"/>
      </w:pPr>
      <w:r>
        <w:rPr>
          <w:noProof/>
          <w:color w:val="0563C1"/>
        </w:rPr>
        <w:drawing>
          <wp:inline distT="0" distB="0" distL="0" distR="0" wp14:anchorId="414511C4" wp14:editId="11C774F5">
            <wp:extent cx="241300" cy="241300"/>
            <wp:effectExtent l="0" t="0" r="6350" b="6350"/>
            <wp:docPr id="13" name="Grafik 13" descr="Ein Bild, das Symbol enthält.&#10;&#10;KI-generierte Inhalte können fehlerhaft sein.">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KI-generierte Inhalte können fehlerhaft sein.">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BDE8BEF" wp14:editId="13AB1AC1">
            <wp:extent cx="241300" cy="241300"/>
            <wp:effectExtent l="0" t="0" r="6350" b="6350"/>
            <wp:docPr id="12" name="Grafik 12" descr="Ein Bild, das Kreis, Design enthält.&#10;&#10;KI-generierte Inhalte können fehlerhaft sein.">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Kreis, Design enthält.&#10;&#10;KI-generierte Inhalte können fehlerhaft sein.">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62E2A2B" wp14:editId="5414751C">
            <wp:extent cx="241300" cy="241300"/>
            <wp:effectExtent l="0" t="0" r="6350" b="6350"/>
            <wp:docPr id="11" name="Grafik 11" descr="Ein Bild, das Kreis, Design enthält.&#10;&#10;KI-generierte Inhalte können fehlerhaft sein.">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Kreis, Design enthält.&#10;&#10;KI-generierte Inhalte können fehlerhaft sein.">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FDD8392" wp14:editId="600D4E0E">
            <wp:extent cx="241300" cy="241300"/>
            <wp:effectExtent l="0" t="0" r="6350" b="6350"/>
            <wp:docPr id="10" name="Grafik 10" descr="Ein Bild, das Symbol, Kreis enthält.&#10;&#10;KI-generierte Inhalte können fehlerhaft sein.">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KI-generierte Inhalte können fehlerhaft sein.">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9785D01" wp14:editId="1994DB1D">
            <wp:extent cx="241300" cy="241300"/>
            <wp:effectExtent l="0" t="0" r="6350" b="6350"/>
            <wp:docPr id="7" name="Grafik 7" descr="Ein Bild, das Text, Symbol, Design enthält.&#10;&#10;KI-generierte Inhalte können fehlerhaft sein.">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KI-generierte Inhalte können fehlerhaft sein.">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14:paraId="5CAFD6BB" w14:textId="77777777" w:rsidR="00A42ED2" w:rsidRDefault="00A42ED2" w:rsidP="00A42ED2">
      <w:pPr>
        <w:spacing w:after="120" w:line="360" w:lineRule="auto"/>
        <w:ind w:left="567" w:right="1695"/>
        <w:rPr>
          <w:rFonts w:ascii="Arial" w:hAnsi="Arial" w:cs="Arial"/>
          <w:bCs/>
        </w:rPr>
      </w:pPr>
    </w:p>
    <w:sectPr w:rsidR="00A42ED2" w:rsidSect="00C7362D">
      <w:headerReference w:type="default" r:id="rId27"/>
      <w:footerReference w:type="default" r:id="rId28"/>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6E7E" w14:textId="77777777" w:rsidR="009B0D8D" w:rsidRDefault="009B0D8D">
      <w:r>
        <w:separator/>
      </w:r>
    </w:p>
  </w:endnote>
  <w:endnote w:type="continuationSeparator" w:id="0">
    <w:p w14:paraId="06656CC0" w14:textId="77777777" w:rsidR="009B0D8D" w:rsidRDefault="009B0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AE547"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2AB41326" wp14:editId="594F6109">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AAE7D6D"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din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41326"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3AAE7D6D"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din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554A7401" wp14:editId="24512D1F">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998294E"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593CC12C" wp14:editId="0ACB96B2">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720F7A0"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3F60D8BF" wp14:editId="0167E611">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0E3FEE7"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 Germania</w:t>
                          </w:r>
                        </w:p>
                        <w:p w14:paraId="75B6CD6A" w14:textId="77777777" w:rsidR="005E0980" w:rsidRPr="00D744EF" w:rsidRDefault="005E0980" w:rsidP="006F7755">
                          <w:pPr>
                            <w:spacing w:line="280" w:lineRule="exact"/>
                            <w:rPr>
                              <w:rFonts w:ascii="Arial" w:hAnsi="Arial"/>
                              <w:spacing w:val="2"/>
                              <w:sz w:val="20"/>
                            </w:rPr>
                          </w:pPr>
                          <w:r>
                            <w:rPr>
                              <w:rFonts w:ascii="Arial" w:hAnsi="Arial"/>
                              <w:sz w:val="20"/>
                            </w:rPr>
                            <w:t>Telefon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60D8BF"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70E3FEE7"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 Germania</w:t>
                    </w:r>
                  </w:p>
                  <w:p w14:paraId="75B6CD6A" w14:textId="77777777" w:rsidR="005E0980" w:rsidRPr="00D744EF" w:rsidRDefault="005E0980" w:rsidP="006F7755">
                    <w:pPr>
                      <w:spacing w:line="280" w:lineRule="exact"/>
                      <w:rPr>
                        <w:rFonts w:ascii="Arial" w:hAnsi="Arial"/>
                        <w:spacing w:val="2"/>
                        <w:sz w:val="20"/>
                      </w:rPr>
                    </w:pPr>
                    <w:r>
                      <w:rPr>
                        <w:rFonts w:ascii="Arial" w:hAnsi="Arial"/>
                        <w:sz w:val="20"/>
                      </w:rPr>
                      <w:t>Telefon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AC3CB" w14:textId="77777777" w:rsidR="009B0D8D" w:rsidRDefault="009B0D8D">
      <w:r>
        <w:separator/>
      </w:r>
    </w:p>
  </w:footnote>
  <w:footnote w:type="continuationSeparator" w:id="0">
    <w:p w14:paraId="488C9868" w14:textId="77777777" w:rsidR="009B0D8D" w:rsidRDefault="009B0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4AEA6"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1A67B441" wp14:editId="177AEBA5">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6665D8F" w14:textId="02CBE329"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Comunicat de presă iu</w:t>
                          </w:r>
                          <w:r w:rsidR="00812D7D">
                            <w:rPr>
                              <w:rFonts w:ascii="Arial" w:hAnsi="Arial"/>
                              <w:color w:val="FFFFFF" w:themeColor="background1"/>
                              <w:sz w:val="28"/>
                            </w:rPr>
                            <w:t>l</w:t>
                          </w:r>
                          <w:r>
                            <w:rPr>
                              <w:rFonts w:ascii="Arial" w:hAnsi="Arial"/>
                              <w:color w:val="FFFFFF" w:themeColor="background1"/>
                              <w:sz w:val="28"/>
                            </w:rPr>
                            <w:t>ie 2026</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A67B441"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26665D8F" w14:textId="02CBE329"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Comunicat de presă iu</w:t>
                    </w:r>
                    <w:r w:rsidR="00812D7D">
                      <w:rPr>
                        <w:rFonts w:ascii="Arial" w:hAnsi="Arial"/>
                        <w:color w:val="FFFFFF" w:themeColor="background1"/>
                        <w:sz w:val="28"/>
                      </w:rPr>
                      <w:t>l</w:t>
                    </w:r>
                    <w:r>
                      <w:rPr>
                        <w:rFonts w:ascii="Arial" w:hAnsi="Arial"/>
                        <w:color w:val="FFFFFF" w:themeColor="background1"/>
                        <w:sz w:val="28"/>
                      </w:rPr>
                      <w:t>ie 2026</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61AEDE19" wp14:editId="0C8B5807">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839C147"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58BCAA15" wp14:editId="58D5C18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3C70C023"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1B6ECA24" wp14:editId="044D75FD">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4A4BB6F" w14:textId="77777777" w:rsidR="005E0980" w:rsidRPr="00583760" w:rsidRDefault="005E0980" w:rsidP="006F7755">
                          <w:pPr>
                            <w:ind w:left="142"/>
                            <w:rPr>
                              <w:rFonts w:ascii="Arial" w:hAnsi="Arial"/>
                              <w:b/>
                              <w:color w:val="FFFFFF"/>
                              <w:sz w:val="26"/>
                            </w:rPr>
                          </w:pPr>
                          <w:r>
                            <w:rPr>
                              <w:rFonts w:ascii="Arial" w:hAnsi="Arial"/>
                              <w:b/>
                              <w:color w:val="FFFFFF"/>
                              <w:sz w:val="26"/>
                            </w:rPr>
                            <w:t>Comunicat de presă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6ECA24"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24A4BB6F" w14:textId="77777777" w:rsidR="005E0980" w:rsidRPr="00583760" w:rsidRDefault="005E0980" w:rsidP="006F7755">
                    <w:pPr>
                      <w:ind w:left="142"/>
                      <w:rPr>
                        <w:rFonts w:ascii="Arial" w:hAnsi="Arial"/>
                        <w:b/>
                        <w:color w:val="FFFFFF"/>
                        <w:sz w:val="26"/>
                      </w:rPr>
                    </w:pPr>
                    <w:r>
                      <w:rPr>
                        <w:rFonts w:ascii="Arial" w:hAnsi="Arial"/>
                        <w:b/>
                        <w:color w:val="FFFFFF"/>
                        <w:sz w:val="26"/>
                      </w:rPr>
                      <w:t>Comunicat de presă</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1DC"/>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24B"/>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1E1F"/>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0AEA"/>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060"/>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2C06"/>
    <w:rsid w:val="00185E00"/>
    <w:rsid w:val="00187777"/>
    <w:rsid w:val="00187DF2"/>
    <w:rsid w:val="001926C2"/>
    <w:rsid w:val="00194AE4"/>
    <w:rsid w:val="0019571A"/>
    <w:rsid w:val="001A0746"/>
    <w:rsid w:val="001A09C4"/>
    <w:rsid w:val="001A35CD"/>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28"/>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182"/>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A6A0F"/>
    <w:rsid w:val="003B05A5"/>
    <w:rsid w:val="003B1CDE"/>
    <w:rsid w:val="003B4998"/>
    <w:rsid w:val="003B4C18"/>
    <w:rsid w:val="003B6008"/>
    <w:rsid w:val="003C0AFD"/>
    <w:rsid w:val="003C18DD"/>
    <w:rsid w:val="003C19B9"/>
    <w:rsid w:val="003C23E8"/>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49A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061DC"/>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353E"/>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A5489"/>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2D7D"/>
    <w:rsid w:val="00814E24"/>
    <w:rsid w:val="00815EA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3039"/>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1BF0"/>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24FD"/>
    <w:rsid w:val="00994FBF"/>
    <w:rsid w:val="00997972"/>
    <w:rsid w:val="009A0956"/>
    <w:rsid w:val="009A2C67"/>
    <w:rsid w:val="009A42FB"/>
    <w:rsid w:val="009A5723"/>
    <w:rsid w:val="009A5BC4"/>
    <w:rsid w:val="009A668A"/>
    <w:rsid w:val="009B0D8D"/>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5078"/>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089A"/>
    <w:rsid w:val="00BD1CB0"/>
    <w:rsid w:val="00BD1F5D"/>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1884"/>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956"/>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15927"/>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2C13"/>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4086"/>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61B49197"/>
  <w15:docId w15:val="{5980835A-2020-4E76-AFEE-54277B7F9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ro-RO"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3761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styles" Target="styles.xml"/><Relationship Id="rId21" Type="http://schemas.openxmlformats.org/officeDocument/2006/relationships/hyperlink" Target="https://www.linkedin.com/company/amazone-group/" TargetMode="External"/><Relationship Id="rId7" Type="http://schemas.openxmlformats.org/officeDocument/2006/relationships/endnotes" Target="endnotes.xml"/><Relationship Id="rId12" Type="http://schemas.openxmlformats.org/officeDocument/2006/relationships/hyperlink" Target="https://www.facebook.com/amazone.group"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cid:YT_e9180d16-5a2b-4618-92e9-22a015f9cafb.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mazone.ro" TargetMode="External"/><Relationship Id="rId24" Type="http://schemas.openxmlformats.org/officeDocument/2006/relationships/hyperlink" Target="https://www.xing.com/company/amazone" TargetMode="External"/><Relationship Id="rId5" Type="http://schemas.openxmlformats.org/officeDocument/2006/relationships/webSettings" Target="webSettings.xml"/><Relationship Id="rId15" Type="http://schemas.openxmlformats.org/officeDocument/2006/relationships/hyperlink" Target="https://instagram.com/amazone_group" TargetMode="External"/><Relationship Id="rId23" Type="http://schemas.openxmlformats.org/officeDocument/2006/relationships/image" Target="cid:LinkedIn_80de4e9c-c7a3-41e3-8e11-063f7eace13d.jpg" TargetMode="External"/><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cid:FB_70d43fd1-a841-4de4-bbaa-3e1f495f95d3.jpg" TargetMode="External"/><Relationship Id="rId22" Type="http://schemas.openxmlformats.org/officeDocument/2006/relationships/image" Target="media/image7.jpeg"/><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00%20Vorlagen%20u.%20Workflows\Vorlage_PI_Landtechnik_2026.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Vorlage_PI_Landtechnik_2026.dotx</Template>
  <TotalTime>0</TotalTime>
  <Pages>4</Pages>
  <Words>522</Words>
  <Characters>3080</Characters>
  <Application>Microsoft Office Word</Application>
  <DocSecurity>0</DocSecurity>
  <Lines>62</Lines>
  <Paragraphs>10</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3605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de comunicat de presă</dc:title>
  <dc:subject/>
  <dc:creator>Berelsmann Nadine</dc:creator>
  <cp:keywords/>
  <dc:description/>
  <cp:lastModifiedBy>Berelsmann Nadine</cp:lastModifiedBy>
  <cp:revision>7</cp:revision>
  <cp:lastPrinted>2010-02-24T09:10:00Z</cp:lastPrinted>
  <dcterms:created xsi:type="dcterms:W3CDTF">2026-06-09T08:25:00Z</dcterms:created>
  <dcterms:modified xsi:type="dcterms:W3CDTF">2026-07-02T10:38:00Z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